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CC5" w:rsidRDefault="00425CC5" w:rsidP="00425CC5">
      <w:pPr>
        <w:tabs>
          <w:tab w:val="left" w:pos="9639"/>
        </w:tabs>
        <w:spacing w:before="120"/>
        <w:jc w:val="right"/>
        <w:rPr>
          <w:bCs/>
        </w:rPr>
      </w:pPr>
      <w:r>
        <w:rPr>
          <w:bCs/>
        </w:rPr>
        <w:t xml:space="preserve">Приложение № </w:t>
      </w:r>
      <w:r w:rsidR="005276C4">
        <w:rPr>
          <w:bCs/>
        </w:rPr>
        <w:t>6</w:t>
      </w:r>
      <w:r>
        <w:rPr>
          <w:bCs/>
        </w:rPr>
        <w:t xml:space="preserve"> к приказу АО «КНПЗ»</w:t>
      </w:r>
    </w:p>
    <w:p w:rsidR="00425CC5" w:rsidRDefault="00425CC5" w:rsidP="00425CC5">
      <w:pPr>
        <w:tabs>
          <w:tab w:val="left" w:pos="9639"/>
        </w:tabs>
        <w:spacing w:before="120"/>
        <w:jc w:val="right"/>
        <w:rPr>
          <w:bCs/>
        </w:rPr>
      </w:pPr>
      <w:r>
        <w:rPr>
          <w:bCs/>
        </w:rPr>
        <w:t xml:space="preserve">от </w:t>
      </w:r>
      <w:r w:rsidR="002D4059">
        <w:rPr>
          <w:bCs/>
        </w:rPr>
        <w:t>________</w:t>
      </w:r>
      <w:r w:rsidR="00F34FC8">
        <w:rPr>
          <w:bCs/>
        </w:rPr>
        <w:t>202</w:t>
      </w:r>
      <w:r w:rsidR="00D17B96">
        <w:rPr>
          <w:bCs/>
        </w:rPr>
        <w:t xml:space="preserve">   </w:t>
      </w:r>
      <w:r w:rsidR="00F34FC8">
        <w:rPr>
          <w:bCs/>
        </w:rPr>
        <w:t>г.</w:t>
      </w:r>
      <w:r>
        <w:rPr>
          <w:bCs/>
        </w:rPr>
        <w:t xml:space="preserve"> №</w:t>
      </w:r>
      <w:r w:rsidR="00F34FC8">
        <w:rPr>
          <w:bCs/>
        </w:rPr>
        <w:t xml:space="preserve"> </w:t>
      </w:r>
      <w:r w:rsidR="002D4059">
        <w:rPr>
          <w:bCs/>
        </w:rPr>
        <w:t>_______</w:t>
      </w:r>
    </w:p>
    <w:p w:rsidR="00607485" w:rsidRDefault="00425CC5" w:rsidP="00425CC5">
      <w:pPr>
        <w:tabs>
          <w:tab w:val="left" w:pos="9639"/>
        </w:tabs>
        <w:spacing w:before="120"/>
        <w:jc w:val="center"/>
        <w:rPr>
          <w:bCs/>
          <w:sz w:val="20"/>
          <w:szCs w:val="20"/>
        </w:rPr>
      </w:pPr>
      <w:r w:rsidRPr="00A2272B">
        <w:rPr>
          <w:bCs/>
        </w:rPr>
        <w:t xml:space="preserve">Нарушения требований пропускного </w:t>
      </w:r>
      <w:proofErr w:type="gramStart"/>
      <w:r w:rsidRPr="00A2272B">
        <w:rPr>
          <w:bCs/>
        </w:rPr>
        <w:t xml:space="preserve">и  </w:t>
      </w:r>
      <w:proofErr w:type="spellStart"/>
      <w:r w:rsidRPr="00A2272B">
        <w:rPr>
          <w:bCs/>
        </w:rPr>
        <w:t>внутриобъектового</w:t>
      </w:r>
      <w:proofErr w:type="spellEnd"/>
      <w:proofErr w:type="gramEnd"/>
      <w:r>
        <w:rPr>
          <w:bCs/>
        </w:rPr>
        <w:t xml:space="preserve">  режимов работниками Подрядчика/Заказчика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930"/>
        <w:gridCol w:w="6"/>
      </w:tblGrid>
      <w:tr w:rsidR="00607485" w:rsidTr="00DF51D0">
        <w:tc>
          <w:tcPr>
            <w:tcW w:w="9645" w:type="dxa"/>
            <w:gridSpan w:val="3"/>
            <w:hideMark/>
          </w:tcPr>
          <w:p w:rsidR="00607485" w:rsidRDefault="00607485" w:rsidP="00DF51D0">
            <w:pPr>
              <w:pStyle w:val="a3"/>
              <w:spacing w:before="120" w:beforeAutospacing="0" w:after="6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группа. Малозначительные нарушения.</w:t>
            </w:r>
            <w:r>
              <w:rPr>
                <w:b/>
                <w:sz w:val="20"/>
                <w:szCs w:val="20"/>
              </w:rPr>
              <w:br/>
              <w:t>1.1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607485" w:rsidP="00DF51D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Превышение скорости движения на территории АО «КНПЗ» более чем на 10 км/час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607485" w:rsidP="00DF51D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Вынос земли на дороги автотранспортом.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607485" w:rsidP="00DF51D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Свалка мусора вне отведенного для этого месте.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607485" w:rsidP="00DF51D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Ненадлежащее содержание первичных средств пожаротушения.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607485" w:rsidP="00DF51D0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Ненадлежащее содержание арендуемых территорий и помещений, а также дорог, проездов, подъездов, наружного водоснабжения.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607485" w:rsidP="00DF51D0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электронагревательных приборов с нарушениями.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607485" w:rsidP="00DF51D0">
            <w:pPr>
              <w:pStyle w:val="a3"/>
              <w:keepNext/>
              <w:widowControl w:val="0"/>
              <w:tabs>
                <w:tab w:val="left" w:pos="851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Нарушение правил устройства и эксплуатации электрооборудования.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607485" w:rsidP="00DF51D0">
            <w:pPr>
              <w:keepNext/>
              <w:widowControl w:val="0"/>
              <w:tabs>
                <w:tab w:val="left" w:pos="567"/>
                <w:tab w:val="left" w:pos="851"/>
                <w:tab w:val="left" w:pos="1276"/>
                <w:tab w:val="left" w:pos="9639"/>
              </w:tabs>
              <w:ind w:right="-29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Въезд техники на территорию резервуарных парков и технологических установок без соответствующего разрешения. искрогасителя или устройства его заменяющего (катализатор).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607485" w:rsidP="00DF51D0">
            <w:pPr>
              <w:keepNext/>
              <w:widowControl w:val="0"/>
              <w:tabs>
                <w:tab w:val="left" w:pos="851"/>
                <w:tab w:val="left" w:pos="1080"/>
                <w:tab w:val="left" w:pos="9639"/>
              </w:tabs>
              <w:ind w:right="-29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Нарушения требований пожарной безопасности при эксплуатации временных зданий и сооружений.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607485" w:rsidP="00DF51D0">
            <w:pPr>
              <w:keepNext/>
              <w:widowControl w:val="0"/>
              <w:tabs>
                <w:tab w:val="left" w:pos="851"/>
                <w:tab w:val="left" w:pos="1080"/>
                <w:tab w:val="left" w:pos="9639"/>
              </w:tabs>
              <w:ind w:right="-29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Неиспользование ближнего света фар или ходовых огней.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607485" w:rsidP="00DF51D0">
            <w:pPr>
              <w:keepNext/>
              <w:widowControl w:val="0"/>
              <w:tabs>
                <w:tab w:val="left" w:pos="851"/>
                <w:tab w:val="left" w:pos="1080"/>
                <w:tab w:val="left" w:pos="9639"/>
              </w:tabs>
              <w:ind w:right="-29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Управление водителем транспортным средством с не пристегнутым ремнем безопасности, и/или перевозка пассажиров с не пристегнутыми ремнями безопасности.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607485" w:rsidP="00DF51D0">
            <w:pPr>
              <w:keepNext/>
              <w:widowControl w:val="0"/>
              <w:tabs>
                <w:tab w:val="left" w:pos="851"/>
                <w:tab w:val="left" w:pos="1080"/>
                <w:tab w:val="left" w:pos="9639"/>
              </w:tabs>
              <w:ind w:right="-29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водителем мобильных средств связи во время движения транспортного средства.</w:t>
            </w:r>
          </w:p>
        </w:tc>
      </w:tr>
      <w:tr w:rsidR="00607485" w:rsidTr="00DF51D0">
        <w:tc>
          <w:tcPr>
            <w:tcW w:w="9645" w:type="dxa"/>
            <w:gridSpan w:val="3"/>
            <w:hideMark/>
          </w:tcPr>
          <w:p w:rsidR="00607485" w:rsidRDefault="00607485" w:rsidP="00DF51D0">
            <w:pPr>
              <w:pStyle w:val="a3"/>
              <w:spacing w:before="120" w:beforeAutospacing="0" w:after="6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группа. Малозначительные нарушения.</w:t>
            </w:r>
            <w:r>
              <w:rPr>
                <w:b/>
                <w:sz w:val="20"/>
                <w:szCs w:val="20"/>
              </w:rPr>
              <w:br/>
              <w:t>1.2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Pr="006A2736" w:rsidRDefault="00607485" w:rsidP="00DF51D0">
            <w:pPr>
              <w:pStyle w:val="a3"/>
              <w:keepNext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A2736">
              <w:rPr>
                <w:sz w:val="20"/>
                <w:szCs w:val="20"/>
              </w:rPr>
              <w:t>Проход на территорию</w:t>
            </w:r>
            <w:r w:rsidRPr="006A2736">
              <w:rPr>
                <w:rFonts w:eastAsia="Calibri"/>
                <w:sz w:val="20"/>
                <w:szCs w:val="20"/>
              </w:rPr>
              <w:t xml:space="preserve"> АО «КНПЗ» </w:t>
            </w:r>
            <w:r w:rsidRPr="006A2736">
              <w:rPr>
                <w:sz w:val="20"/>
                <w:szCs w:val="20"/>
              </w:rPr>
              <w:t>в неустановленном для этого месте.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425CC5" w:rsidRPr="006A2736" w:rsidRDefault="00607485" w:rsidP="00DF51D0">
            <w:pPr>
              <w:pStyle w:val="a3"/>
              <w:keepNext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A2736">
              <w:rPr>
                <w:sz w:val="20"/>
                <w:szCs w:val="20"/>
              </w:rPr>
              <w:t>Передвижение и/или нахождение на территории</w:t>
            </w:r>
            <w:r w:rsidRPr="006A2736">
              <w:rPr>
                <w:rFonts w:eastAsia="Calibri"/>
                <w:sz w:val="20"/>
                <w:szCs w:val="20"/>
              </w:rPr>
              <w:t xml:space="preserve"> АО «КНПЗ» не имея при себе</w:t>
            </w:r>
            <w:r w:rsidRPr="006A2736">
              <w:rPr>
                <w:sz w:val="20"/>
                <w:szCs w:val="20"/>
              </w:rPr>
              <w:t xml:space="preserve"> пропуска. 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Pr="0047298C" w:rsidRDefault="00425CC5" w:rsidP="00DF51D0">
            <w:pPr>
              <w:pStyle w:val="a3"/>
              <w:keepNext/>
              <w:widowControl w:val="0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 w:rsidRPr="00425CC5">
              <w:rPr>
                <w:b/>
                <w:sz w:val="20"/>
                <w:szCs w:val="20"/>
              </w:rPr>
              <w:t>Пронос или провоз на территорию АО «КНПЗ» или использование мобильных средств связи на территории АО «КНПЗ» без разрешительных документов.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47298C" w:rsidP="00DF51D0">
            <w:pPr>
              <w:pStyle w:val="a3"/>
              <w:keepNext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CC5">
              <w:rPr>
                <w:sz w:val="20"/>
                <w:szCs w:val="20"/>
              </w:rPr>
              <w:t>Нарушение регламента вывоза товарно-материальных ценностей.</w:t>
            </w:r>
          </w:p>
        </w:tc>
      </w:tr>
      <w:tr w:rsidR="00607485" w:rsidTr="00DF51D0">
        <w:tc>
          <w:tcPr>
            <w:tcW w:w="709" w:type="dxa"/>
          </w:tcPr>
          <w:p w:rsidR="00607485" w:rsidRDefault="00607485" w:rsidP="00607485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  <w:hideMark/>
          </w:tcPr>
          <w:p w:rsidR="00607485" w:rsidRDefault="0047298C" w:rsidP="0047298C">
            <w:pPr>
              <w:pStyle w:val="a3"/>
              <w:keepNext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от установленного маршрута движения.</w:t>
            </w:r>
          </w:p>
        </w:tc>
      </w:tr>
      <w:tr w:rsidR="00607485" w:rsidTr="00DF51D0">
        <w:tc>
          <w:tcPr>
            <w:tcW w:w="709" w:type="dxa"/>
          </w:tcPr>
          <w:p w:rsidR="0047298C" w:rsidRPr="0047298C" w:rsidRDefault="0047298C" w:rsidP="0047298C">
            <w:pPr>
              <w:pStyle w:val="a3"/>
              <w:keepNext/>
              <w:widowControl w:val="0"/>
              <w:tabs>
                <w:tab w:val="left" w:pos="851"/>
              </w:tabs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47298C">
              <w:rPr>
                <w:b/>
                <w:sz w:val="20"/>
                <w:szCs w:val="20"/>
              </w:rPr>
              <w:t>1.2.6.</w:t>
            </w:r>
          </w:p>
          <w:p w:rsidR="00A72869" w:rsidRDefault="00A72869" w:rsidP="0047298C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:rsidR="00607485" w:rsidRDefault="0047298C" w:rsidP="0047298C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1.2.7</w:t>
            </w:r>
            <w:r w:rsidRPr="0047298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6" w:type="dxa"/>
            <w:gridSpan w:val="2"/>
            <w:hideMark/>
          </w:tcPr>
          <w:p w:rsidR="0047298C" w:rsidRDefault="0047298C" w:rsidP="00DF51D0">
            <w:pPr>
              <w:pStyle w:val="a3"/>
              <w:keepNext/>
              <w:widowControl w:val="0"/>
              <w:tabs>
                <w:tab w:val="left" w:pos="851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или неправильно оформленный путевой лист (отсутствует отметка врача, отсутствует показания спидометра, отсутствует запись движения горючего).</w:t>
            </w:r>
          </w:p>
          <w:p w:rsidR="00607485" w:rsidRDefault="00607485" w:rsidP="00DF51D0">
            <w:pPr>
              <w:pStyle w:val="a3"/>
              <w:keepNext/>
              <w:widowControl w:val="0"/>
              <w:tabs>
                <w:tab w:val="left" w:pos="851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пропуска для прохода на территорию </w:t>
            </w:r>
            <w:r>
              <w:rPr>
                <w:rFonts w:eastAsia="Calibri"/>
                <w:sz w:val="20"/>
                <w:szCs w:val="20"/>
              </w:rPr>
              <w:t xml:space="preserve">АО «КНПЗ» </w:t>
            </w:r>
            <w:r>
              <w:rPr>
                <w:sz w:val="20"/>
                <w:szCs w:val="20"/>
              </w:rPr>
              <w:t>другому лицу.</w:t>
            </w:r>
          </w:p>
        </w:tc>
      </w:tr>
      <w:tr w:rsidR="0047298C" w:rsidTr="00DF51D0">
        <w:tc>
          <w:tcPr>
            <w:tcW w:w="709" w:type="dxa"/>
          </w:tcPr>
          <w:p w:rsidR="0047298C" w:rsidRPr="0047298C" w:rsidRDefault="0047298C" w:rsidP="0047298C">
            <w:pPr>
              <w:pStyle w:val="a3"/>
              <w:keepNext/>
              <w:widowControl w:val="0"/>
              <w:tabs>
                <w:tab w:val="left" w:pos="851"/>
              </w:tabs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  <w:gridSpan w:val="2"/>
          </w:tcPr>
          <w:p w:rsidR="0047298C" w:rsidRDefault="0047298C" w:rsidP="00DF51D0">
            <w:pPr>
              <w:pStyle w:val="a3"/>
              <w:keepNext/>
              <w:widowControl w:val="0"/>
              <w:tabs>
                <w:tab w:val="left" w:pos="851"/>
              </w:tabs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07485" w:rsidRPr="0047298C" w:rsidTr="00DF51D0">
        <w:trPr>
          <w:gridAfter w:val="1"/>
          <w:wAfter w:w="6" w:type="dxa"/>
        </w:trPr>
        <w:tc>
          <w:tcPr>
            <w:tcW w:w="9639" w:type="dxa"/>
            <w:gridSpan w:val="2"/>
            <w:hideMark/>
          </w:tcPr>
          <w:p w:rsidR="00607485" w:rsidRPr="0047298C" w:rsidRDefault="00607485" w:rsidP="00DF51D0">
            <w:pPr>
              <w:keepNext/>
              <w:widowControl w:val="0"/>
              <w:tabs>
                <w:tab w:val="left" w:pos="4170"/>
              </w:tabs>
              <w:spacing w:before="60" w:after="6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7298C">
              <w:rPr>
                <w:sz w:val="20"/>
                <w:szCs w:val="20"/>
              </w:rPr>
              <w:t>2 группа. Нарушения средней тяжести</w:t>
            </w:r>
          </w:p>
        </w:tc>
      </w:tr>
      <w:tr w:rsidR="00607485" w:rsidTr="00DF51D0">
        <w:trPr>
          <w:gridAfter w:val="1"/>
          <w:wAfter w:w="6" w:type="dxa"/>
        </w:trPr>
        <w:tc>
          <w:tcPr>
            <w:tcW w:w="709" w:type="dxa"/>
          </w:tcPr>
          <w:p w:rsidR="00607485" w:rsidRDefault="00607485" w:rsidP="00607485">
            <w:pPr>
              <w:pStyle w:val="a3"/>
              <w:keepNext/>
              <w:widowControl w:val="0"/>
              <w:numPr>
                <w:ilvl w:val="0"/>
                <w:numId w:val="4"/>
              </w:numPr>
              <w:spacing w:before="0" w:beforeAutospacing="0" w:after="0" w:afterAutospacing="0"/>
              <w:ind w:left="357" w:hanging="35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hideMark/>
          </w:tcPr>
          <w:p w:rsidR="00607485" w:rsidRDefault="00607485" w:rsidP="00DF51D0">
            <w:pPr>
              <w:keepNext/>
              <w:widowControl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Повторный в течение года случай совершения работниками контрагента малозначительного нарушения.</w:t>
            </w:r>
          </w:p>
        </w:tc>
      </w:tr>
      <w:tr w:rsidR="00607485" w:rsidTr="00DF51D0">
        <w:trPr>
          <w:gridAfter w:val="1"/>
          <w:wAfter w:w="6" w:type="dxa"/>
        </w:trPr>
        <w:tc>
          <w:tcPr>
            <w:tcW w:w="709" w:type="dxa"/>
          </w:tcPr>
          <w:p w:rsidR="00607485" w:rsidRDefault="00607485" w:rsidP="00607485">
            <w:pPr>
              <w:pStyle w:val="a3"/>
              <w:keepNext/>
              <w:widowControl w:val="0"/>
              <w:numPr>
                <w:ilvl w:val="0"/>
                <w:numId w:val="4"/>
              </w:numPr>
              <w:spacing w:before="0" w:beforeAutospacing="0" w:after="0" w:afterAutospacing="0"/>
              <w:ind w:left="357" w:hanging="35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hideMark/>
          </w:tcPr>
          <w:p w:rsidR="00607485" w:rsidRDefault="00607485" w:rsidP="00DF51D0">
            <w:pPr>
              <w:keepNext/>
              <w:widowControl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Несоответствие количества топлива, указанного в путевом листе, с фактическим наличием топлива в баке.</w:t>
            </w:r>
          </w:p>
        </w:tc>
      </w:tr>
      <w:tr w:rsidR="00607485" w:rsidTr="00DF51D0">
        <w:trPr>
          <w:gridAfter w:val="1"/>
          <w:wAfter w:w="6" w:type="dxa"/>
        </w:trPr>
        <w:tc>
          <w:tcPr>
            <w:tcW w:w="709" w:type="dxa"/>
          </w:tcPr>
          <w:p w:rsidR="00607485" w:rsidRDefault="00607485" w:rsidP="00607485">
            <w:pPr>
              <w:pStyle w:val="a3"/>
              <w:keepNext/>
              <w:widowControl w:val="0"/>
              <w:numPr>
                <w:ilvl w:val="0"/>
                <w:numId w:val="4"/>
              </w:numPr>
              <w:spacing w:before="0" w:beforeAutospacing="0" w:after="0" w:afterAutospacing="0"/>
              <w:ind w:left="357" w:hanging="35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hideMark/>
          </w:tcPr>
          <w:p w:rsidR="00607485" w:rsidRDefault="00607485" w:rsidP="00DF51D0">
            <w:pPr>
              <w:keepNext/>
              <w:widowControl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Нарушение правил при хранении и транспортировке баллонов с горючими газами и кислородом.</w:t>
            </w:r>
          </w:p>
        </w:tc>
      </w:tr>
      <w:tr w:rsidR="00607485" w:rsidTr="00DF51D0">
        <w:trPr>
          <w:gridAfter w:val="1"/>
          <w:wAfter w:w="6" w:type="dxa"/>
        </w:trPr>
        <w:tc>
          <w:tcPr>
            <w:tcW w:w="709" w:type="dxa"/>
          </w:tcPr>
          <w:p w:rsidR="00607485" w:rsidRDefault="00607485" w:rsidP="00607485">
            <w:pPr>
              <w:pStyle w:val="a3"/>
              <w:keepNext/>
              <w:widowControl w:val="0"/>
              <w:numPr>
                <w:ilvl w:val="0"/>
                <w:numId w:val="4"/>
              </w:numPr>
              <w:spacing w:before="0" w:beforeAutospacing="0" w:after="0" w:afterAutospacing="0"/>
              <w:ind w:left="357" w:hanging="35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hideMark/>
          </w:tcPr>
          <w:p w:rsidR="00607485" w:rsidRDefault="00607485" w:rsidP="00DF51D0">
            <w:pPr>
              <w:keepNext/>
              <w:widowControl w:val="0"/>
              <w:ind w:left="540" w:hanging="540"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Несанкционированное проведение фото-, видеосъемки на объектах АО «КНПЗ».</w:t>
            </w:r>
          </w:p>
        </w:tc>
      </w:tr>
      <w:tr w:rsidR="00607485" w:rsidTr="00DF51D0">
        <w:trPr>
          <w:gridAfter w:val="1"/>
          <w:wAfter w:w="6" w:type="dxa"/>
        </w:trPr>
        <w:tc>
          <w:tcPr>
            <w:tcW w:w="709" w:type="dxa"/>
          </w:tcPr>
          <w:p w:rsidR="00607485" w:rsidRDefault="00607485" w:rsidP="00607485">
            <w:pPr>
              <w:pStyle w:val="a3"/>
              <w:keepNext/>
              <w:widowControl w:val="0"/>
              <w:numPr>
                <w:ilvl w:val="0"/>
                <w:numId w:val="4"/>
              </w:numPr>
              <w:spacing w:before="0" w:beforeAutospacing="0" w:after="0" w:afterAutospacing="0"/>
              <w:ind w:left="357" w:hanging="35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hideMark/>
          </w:tcPr>
          <w:p w:rsidR="00607485" w:rsidRDefault="00607485" w:rsidP="00DF51D0">
            <w:pPr>
              <w:keepNext/>
              <w:widowControl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Несанкционированное использование ПК и съемных носителей информации, на объектах </w:t>
            </w:r>
            <w:proofErr w:type="gramStart"/>
            <w:r>
              <w:rPr>
                <w:rFonts w:eastAsia="Times New Roman"/>
                <w:bCs/>
                <w:sz w:val="20"/>
                <w:szCs w:val="20"/>
              </w:rPr>
              <w:t>АО«</w:t>
            </w:r>
            <w:proofErr w:type="gramEnd"/>
            <w:r>
              <w:rPr>
                <w:rFonts w:eastAsia="Times New Roman"/>
                <w:bCs/>
                <w:sz w:val="20"/>
                <w:szCs w:val="20"/>
              </w:rPr>
              <w:t xml:space="preserve">КНПЗ». </w:t>
            </w:r>
          </w:p>
        </w:tc>
      </w:tr>
      <w:tr w:rsidR="00607485" w:rsidTr="00DF51D0">
        <w:trPr>
          <w:gridAfter w:val="1"/>
          <w:wAfter w:w="6" w:type="dxa"/>
        </w:trPr>
        <w:tc>
          <w:tcPr>
            <w:tcW w:w="9639" w:type="dxa"/>
            <w:gridSpan w:val="2"/>
            <w:hideMark/>
          </w:tcPr>
          <w:p w:rsidR="00607485" w:rsidRDefault="00607485" w:rsidP="00DF51D0">
            <w:pPr>
              <w:spacing w:after="60"/>
              <w:ind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группа. Серьезные нарушения</w:t>
            </w:r>
          </w:p>
        </w:tc>
      </w:tr>
      <w:tr w:rsidR="00607485" w:rsidTr="00DF51D0">
        <w:trPr>
          <w:gridAfter w:val="1"/>
          <w:wAfter w:w="6" w:type="dxa"/>
        </w:trPr>
        <w:tc>
          <w:tcPr>
            <w:tcW w:w="709" w:type="dxa"/>
          </w:tcPr>
          <w:p w:rsidR="00607485" w:rsidRDefault="00607485" w:rsidP="00607485">
            <w:pPr>
              <w:numPr>
                <w:ilvl w:val="0"/>
                <w:numId w:val="5"/>
              </w:numPr>
              <w:ind w:left="357" w:hanging="3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30" w:type="dxa"/>
            <w:hideMark/>
          </w:tcPr>
          <w:p w:rsidR="00607485" w:rsidRDefault="00607485" w:rsidP="00DF51D0">
            <w:pPr>
              <w:ind w:right="-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Повторное в течение года нарушение средней тяжести.</w:t>
            </w:r>
          </w:p>
        </w:tc>
      </w:tr>
      <w:tr w:rsidR="00607485" w:rsidTr="00DF51D0">
        <w:trPr>
          <w:gridAfter w:val="1"/>
          <w:wAfter w:w="6" w:type="dxa"/>
        </w:trPr>
        <w:tc>
          <w:tcPr>
            <w:tcW w:w="709" w:type="dxa"/>
          </w:tcPr>
          <w:p w:rsidR="00607485" w:rsidRDefault="00607485" w:rsidP="00607485">
            <w:pPr>
              <w:numPr>
                <w:ilvl w:val="0"/>
                <w:numId w:val="5"/>
              </w:numPr>
              <w:ind w:left="357" w:hanging="3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30" w:type="dxa"/>
            <w:hideMark/>
          </w:tcPr>
          <w:p w:rsidR="00607485" w:rsidRDefault="00607485" w:rsidP="00DF51D0">
            <w:pPr>
              <w:ind w:right="-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Хищение или попытка хищения материальных цен</w:t>
            </w:r>
            <w:r w:rsidR="00425CC5">
              <w:rPr>
                <w:rFonts w:eastAsia="Times New Roman"/>
                <w:sz w:val="20"/>
                <w:szCs w:val="20"/>
              </w:rPr>
              <w:t>ностей, принадлежащих АО «КНПЗ</w:t>
            </w:r>
            <w:r w:rsidR="00425CC5" w:rsidRPr="00425CC5">
              <w:rPr>
                <w:rFonts w:eastAsia="Times New Roman"/>
                <w:b/>
                <w:sz w:val="20"/>
                <w:szCs w:val="20"/>
              </w:rPr>
              <w:t>» на сумму до 2 500 руб.</w:t>
            </w:r>
          </w:p>
        </w:tc>
      </w:tr>
      <w:tr w:rsidR="00607485" w:rsidTr="00DF51D0">
        <w:trPr>
          <w:gridAfter w:val="1"/>
          <w:wAfter w:w="6" w:type="dxa"/>
        </w:trPr>
        <w:tc>
          <w:tcPr>
            <w:tcW w:w="709" w:type="dxa"/>
          </w:tcPr>
          <w:p w:rsidR="00607485" w:rsidRDefault="00607485" w:rsidP="00607485">
            <w:pPr>
              <w:numPr>
                <w:ilvl w:val="0"/>
                <w:numId w:val="5"/>
              </w:numPr>
              <w:ind w:left="357" w:hanging="3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30" w:type="dxa"/>
            <w:hideMark/>
          </w:tcPr>
          <w:p w:rsidR="00607485" w:rsidRDefault="00607485" w:rsidP="00DF51D0">
            <w:pPr>
              <w:ind w:right="-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Подделка пропуска АО «КНПЗ».</w:t>
            </w:r>
          </w:p>
        </w:tc>
      </w:tr>
    </w:tbl>
    <w:p w:rsidR="0016529A" w:rsidRDefault="0016529A" w:rsidP="0016529A">
      <w:pPr>
        <w:ind w:left="4500"/>
        <w:jc w:val="right"/>
        <w:rPr>
          <w:b/>
        </w:rPr>
      </w:pPr>
    </w:p>
    <w:p w:rsidR="00F34FC8" w:rsidRDefault="00F34FC8" w:rsidP="00F34FC8">
      <w:pPr>
        <w:spacing w:line="360" w:lineRule="auto"/>
        <w:jc w:val="both"/>
        <w:rPr>
          <w:rFonts w:eastAsia="Times New Roman"/>
          <w:szCs w:val="24"/>
          <w:lang w:eastAsia="ru-RU"/>
        </w:rPr>
      </w:pPr>
      <w:r w:rsidRPr="00F34FC8">
        <w:rPr>
          <w:rFonts w:eastAsia="Times New Roman"/>
          <w:szCs w:val="24"/>
          <w:lang w:eastAsia="ru-RU"/>
        </w:rPr>
        <w:t xml:space="preserve">                                                         ПОДПИСИ СТОРОН   </w:t>
      </w:r>
    </w:p>
    <w:tbl>
      <w:tblPr>
        <w:tblStyle w:val="a6"/>
        <w:tblW w:w="95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1"/>
        <w:gridCol w:w="4480"/>
      </w:tblGrid>
      <w:tr w:rsidR="00F34FC8" w:rsidRPr="00F34FC8" w:rsidTr="008F57AD">
        <w:trPr>
          <w:trHeight w:val="305"/>
        </w:trPr>
        <w:tc>
          <w:tcPr>
            <w:tcW w:w="5051" w:type="dxa"/>
          </w:tcPr>
          <w:p w:rsidR="00F34FC8" w:rsidRPr="00F34FC8" w:rsidRDefault="00F34FC8" w:rsidP="008F57AD">
            <w:pPr>
              <w:spacing w:after="200" w:line="276" w:lineRule="auto"/>
              <w:ind w:right="480"/>
              <w:jc w:val="both"/>
              <w:rPr>
                <w:rFonts w:eastAsia="Times New Roman"/>
                <w:b/>
                <w:sz w:val="22"/>
              </w:rPr>
            </w:pPr>
            <w:r w:rsidRPr="00F34FC8">
              <w:rPr>
                <w:rFonts w:eastAsia="Times New Roman"/>
                <w:b/>
                <w:sz w:val="22"/>
              </w:rPr>
              <w:t xml:space="preserve">Продавец: </w:t>
            </w:r>
          </w:p>
        </w:tc>
        <w:tc>
          <w:tcPr>
            <w:tcW w:w="4480" w:type="dxa"/>
          </w:tcPr>
          <w:p w:rsidR="00F34FC8" w:rsidRPr="00F34FC8" w:rsidRDefault="00F34FC8" w:rsidP="008F57AD">
            <w:pPr>
              <w:spacing w:after="200" w:line="276" w:lineRule="auto"/>
              <w:ind w:right="480"/>
              <w:jc w:val="both"/>
              <w:rPr>
                <w:rFonts w:eastAsia="Times New Roman"/>
                <w:b/>
                <w:sz w:val="22"/>
              </w:rPr>
            </w:pPr>
            <w:r w:rsidRPr="00F34FC8">
              <w:rPr>
                <w:rFonts w:eastAsia="Times New Roman"/>
                <w:b/>
                <w:sz w:val="22"/>
              </w:rPr>
              <w:t xml:space="preserve">Покупатель: </w:t>
            </w:r>
          </w:p>
        </w:tc>
      </w:tr>
      <w:tr w:rsidR="00F34FC8" w:rsidRPr="00F34FC8" w:rsidTr="008F57AD">
        <w:trPr>
          <w:trHeight w:val="2276"/>
        </w:trPr>
        <w:tc>
          <w:tcPr>
            <w:tcW w:w="5051" w:type="dxa"/>
          </w:tcPr>
          <w:p w:rsidR="00F34FC8" w:rsidRPr="00F34FC8" w:rsidRDefault="00F34FC8" w:rsidP="008F57AD">
            <w:pPr>
              <w:spacing w:before="120" w:after="200" w:line="276" w:lineRule="auto"/>
              <w:ind w:right="482"/>
              <w:jc w:val="both"/>
              <w:rPr>
                <w:rFonts w:eastAsia="Times New Roman"/>
                <w:b/>
                <w:sz w:val="22"/>
              </w:rPr>
            </w:pPr>
          </w:p>
          <w:p w:rsidR="00F34FC8" w:rsidRPr="00F34FC8" w:rsidRDefault="00F34FC8" w:rsidP="008F57AD">
            <w:pPr>
              <w:spacing w:after="200" w:line="276" w:lineRule="auto"/>
              <w:ind w:right="480"/>
              <w:jc w:val="both"/>
              <w:rPr>
                <w:rFonts w:eastAsia="Times New Roman"/>
                <w:b/>
                <w:sz w:val="22"/>
              </w:rPr>
            </w:pPr>
            <w:r w:rsidRPr="00F34FC8">
              <w:rPr>
                <w:rFonts w:eastAsia="Times New Roman"/>
                <w:b/>
                <w:sz w:val="22"/>
              </w:rPr>
              <w:t>___________________/</w:t>
            </w:r>
            <w:r w:rsidR="007C2FA4">
              <w:rPr>
                <w:rFonts w:eastAsia="Times New Roman"/>
                <w:b/>
                <w:sz w:val="22"/>
              </w:rPr>
              <w:t>Ф.И.О</w:t>
            </w:r>
            <w:r w:rsidRPr="00F34FC8">
              <w:rPr>
                <w:rFonts w:eastAsia="Times New Roman"/>
                <w:b/>
                <w:sz w:val="22"/>
              </w:rPr>
              <w:t>/</w:t>
            </w:r>
          </w:p>
          <w:p w:rsidR="00F34FC8" w:rsidRPr="00F34FC8" w:rsidRDefault="00F34FC8" w:rsidP="008F57AD">
            <w:pPr>
              <w:spacing w:after="200" w:line="276" w:lineRule="auto"/>
              <w:ind w:right="480"/>
              <w:jc w:val="both"/>
              <w:rPr>
                <w:rFonts w:eastAsia="Times New Roman"/>
                <w:sz w:val="22"/>
              </w:rPr>
            </w:pPr>
            <w:r w:rsidRPr="00F34FC8">
              <w:rPr>
                <w:rFonts w:eastAsia="Times New Roman"/>
                <w:sz w:val="22"/>
              </w:rPr>
              <w:t>М.П.</w:t>
            </w:r>
            <w:bookmarkStart w:id="0" w:name="_GoBack"/>
            <w:bookmarkEnd w:id="0"/>
          </w:p>
        </w:tc>
        <w:tc>
          <w:tcPr>
            <w:tcW w:w="4480" w:type="dxa"/>
          </w:tcPr>
          <w:p w:rsidR="00F34FC8" w:rsidRPr="00F34FC8" w:rsidRDefault="00F34FC8" w:rsidP="008F57AD">
            <w:pPr>
              <w:spacing w:after="200" w:line="276" w:lineRule="auto"/>
              <w:ind w:right="480"/>
              <w:jc w:val="both"/>
              <w:rPr>
                <w:rFonts w:eastAsia="Times New Roman"/>
                <w:b/>
                <w:sz w:val="22"/>
              </w:rPr>
            </w:pPr>
          </w:p>
          <w:p w:rsidR="00F34FC8" w:rsidRPr="00F34FC8" w:rsidRDefault="00F34FC8" w:rsidP="008F57AD">
            <w:pPr>
              <w:spacing w:after="200" w:line="276" w:lineRule="auto"/>
              <w:ind w:right="480"/>
              <w:jc w:val="both"/>
              <w:rPr>
                <w:rFonts w:eastAsia="Times New Roman"/>
                <w:b/>
                <w:sz w:val="22"/>
              </w:rPr>
            </w:pPr>
            <w:r w:rsidRPr="00F34FC8">
              <w:rPr>
                <w:rFonts w:eastAsia="Times New Roman"/>
                <w:b/>
                <w:sz w:val="22"/>
              </w:rPr>
              <w:t>________________/</w:t>
            </w:r>
            <w:r w:rsidR="007C2FA4">
              <w:rPr>
                <w:rFonts w:eastAsia="Times New Roman"/>
                <w:b/>
                <w:sz w:val="22"/>
              </w:rPr>
              <w:t>Ф.И.О.</w:t>
            </w:r>
            <w:r w:rsidRPr="00F34FC8">
              <w:rPr>
                <w:rFonts w:eastAsia="Times New Roman"/>
                <w:b/>
                <w:sz w:val="22"/>
              </w:rPr>
              <w:t>/</w:t>
            </w:r>
          </w:p>
          <w:p w:rsidR="00F34FC8" w:rsidRPr="00F34FC8" w:rsidRDefault="00F34FC8" w:rsidP="008F57AD">
            <w:pPr>
              <w:spacing w:after="200" w:line="276" w:lineRule="auto"/>
              <w:ind w:right="480"/>
              <w:jc w:val="both"/>
              <w:rPr>
                <w:rFonts w:eastAsia="Times New Roman"/>
                <w:b/>
                <w:sz w:val="22"/>
              </w:rPr>
            </w:pPr>
            <w:r w:rsidRPr="00F34FC8">
              <w:rPr>
                <w:rFonts w:eastAsia="Times New Roman"/>
                <w:sz w:val="22"/>
              </w:rPr>
              <w:t>М.П.</w:t>
            </w:r>
          </w:p>
        </w:tc>
      </w:tr>
    </w:tbl>
    <w:p w:rsidR="00697780" w:rsidRDefault="00697780" w:rsidP="00F34FC8">
      <w:pPr>
        <w:spacing w:after="60"/>
        <w:ind w:right="-6"/>
      </w:pPr>
    </w:p>
    <w:sectPr w:rsidR="00697780" w:rsidSect="00F34FC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Полужирный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76ED9"/>
    <w:multiLevelType w:val="hybridMultilevel"/>
    <w:tmpl w:val="56EAA79E"/>
    <w:lvl w:ilvl="0" w:tplc="FC866036">
      <w:start w:val="1"/>
      <w:numFmt w:val="decimal"/>
      <w:lvlText w:val="3.%1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10433F"/>
    <w:multiLevelType w:val="hybridMultilevel"/>
    <w:tmpl w:val="41DCF7B4"/>
    <w:lvl w:ilvl="0" w:tplc="5EECDFCC">
      <w:start w:val="1"/>
      <w:numFmt w:val="decimal"/>
      <w:lvlText w:val="1.1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05C6A"/>
    <w:multiLevelType w:val="hybridMultilevel"/>
    <w:tmpl w:val="5246A8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84F0E"/>
    <w:multiLevelType w:val="hybridMultilevel"/>
    <w:tmpl w:val="01069A5E"/>
    <w:lvl w:ilvl="0" w:tplc="1E02AA74">
      <w:start w:val="1"/>
      <w:numFmt w:val="decimal"/>
      <w:lvlText w:val="ПРИЛОЖЕНИЕ %1."/>
      <w:lvlJc w:val="left"/>
      <w:pPr>
        <w:ind w:left="360" w:hanging="360"/>
      </w:pPr>
      <w:rPr>
        <w:rFonts w:ascii="Arial Полужирный" w:hAnsi="Arial Полужирный"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057F7"/>
    <w:multiLevelType w:val="hybridMultilevel"/>
    <w:tmpl w:val="7C8696B2"/>
    <w:lvl w:ilvl="0" w:tplc="CFD4B606">
      <w:start w:val="1"/>
      <w:numFmt w:val="decimal"/>
      <w:lvlText w:val="2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64939"/>
    <w:multiLevelType w:val="hybridMultilevel"/>
    <w:tmpl w:val="749E3B76"/>
    <w:lvl w:ilvl="0" w:tplc="6CEE52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9A0DB9"/>
    <w:multiLevelType w:val="hybridMultilevel"/>
    <w:tmpl w:val="D56E7620"/>
    <w:lvl w:ilvl="0" w:tplc="76B4630C">
      <w:start w:val="1"/>
      <w:numFmt w:val="decimal"/>
      <w:lvlText w:val="1.2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485"/>
    <w:rsid w:val="0014075A"/>
    <w:rsid w:val="0016529A"/>
    <w:rsid w:val="002D4059"/>
    <w:rsid w:val="003569BF"/>
    <w:rsid w:val="00425CC5"/>
    <w:rsid w:val="0047298C"/>
    <w:rsid w:val="005276C4"/>
    <w:rsid w:val="00540535"/>
    <w:rsid w:val="005D6F49"/>
    <w:rsid w:val="00607485"/>
    <w:rsid w:val="00697780"/>
    <w:rsid w:val="006A2736"/>
    <w:rsid w:val="007C2FA4"/>
    <w:rsid w:val="008547FD"/>
    <w:rsid w:val="00A72869"/>
    <w:rsid w:val="00AA5347"/>
    <w:rsid w:val="00B9377F"/>
    <w:rsid w:val="00D17B96"/>
    <w:rsid w:val="00DE5D0F"/>
    <w:rsid w:val="00F024F6"/>
    <w:rsid w:val="00F3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E626E-D7A6-44FE-8586-21B8EA35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48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0748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a4">
    <w:name w:val="Абзац списка Знак"/>
    <w:aliases w:val="Bullet_IRAO Знак,Мой Список Знак,List Paragraph_0 Знак,List Paragraph Знак,lp1 Знак,Bullet List Знак,FooterText Знак,numbered Знак,Paragraphe de liste1 Знак"/>
    <w:link w:val="a5"/>
    <w:uiPriority w:val="34"/>
    <w:locked/>
    <w:rsid w:val="00607485"/>
    <w:rPr>
      <w:rFonts w:eastAsia="Times New Roman" w:cs="Times New Roman"/>
      <w:sz w:val="24"/>
      <w:szCs w:val="24"/>
    </w:rPr>
  </w:style>
  <w:style w:type="paragraph" w:styleId="a5">
    <w:name w:val="List Paragraph"/>
    <w:aliases w:val="Bullet_IRAO,Мой Список,List Paragraph_0,List Paragraph,lp1,Bullet List,FooterText,numbered,Paragraphe de liste1"/>
    <w:basedOn w:val="a"/>
    <w:link w:val="a4"/>
    <w:uiPriority w:val="34"/>
    <w:qFormat/>
    <w:rsid w:val="00607485"/>
    <w:pPr>
      <w:ind w:left="708"/>
    </w:pPr>
    <w:rPr>
      <w:rFonts w:asciiTheme="minorHAnsi" w:eastAsia="Times New Roman" w:hAnsiTheme="minorHAnsi"/>
      <w:szCs w:val="24"/>
    </w:rPr>
  </w:style>
  <w:style w:type="paragraph" w:styleId="2">
    <w:name w:val="Body Text 2"/>
    <w:basedOn w:val="a"/>
    <w:link w:val="20"/>
    <w:uiPriority w:val="99"/>
    <w:rsid w:val="0016529A"/>
    <w:pPr>
      <w:jc w:val="center"/>
    </w:pPr>
    <w:rPr>
      <w:rFonts w:eastAsia="Times New Roman"/>
      <w:b/>
      <w:bCs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652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F34FC8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"/>
    <w:rsid w:val="007C2FA4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Times New Roman" w:hAnsi="Helv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Баев Василий Викторович</dc:creator>
  <cp:keywords/>
  <dc:description/>
  <cp:lastModifiedBy>Хоменко Юлия Петровна</cp:lastModifiedBy>
  <cp:revision>5</cp:revision>
  <dcterms:created xsi:type="dcterms:W3CDTF">2024-09-04T05:32:00Z</dcterms:created>
  <dcterms:modified xsi:type="dcterms:W3CDTF">2024-10-23T11:07:00Z</dcterms:modified>
</cp:coreProperties>
</file>